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F79CF">
      <w:pPr>
        <w:jc w:val="center"/>
        <w:rPr>
          <w:rFonts w:hint="eastAsia" w:ascii="仿宋" w:hAnsi="仿宋" w:eastAsia="仿宋" w:cs="仿宋"/>
          <w:b/>
          <w:bCs/>
          <w:sz w:val="36"/>
          <w:szCs w:val="28"/>
        </w:rPr>
      </w:pPr>
      <w:r>
        <w:rPr>
          <w:rFonts w:hint="eastAsia" w:ascii="仿宋" w:hAnsi="仿宋" w:eastAsia="仿宋" w:cs="仿宋"/>
          <w:b/>
          <w:bCs/>
          <w:sz w:val="36"/>
          <w:szCs w:val="28"/>
        </w:rPr>
        <w:t>2025年度揭阳市台风强降水巨灾保险采购项目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需求调查反馈文件</w:t>
      </w:r>
      <w:bookmarkStart w:id="0" w:name="_GoBack"/>
      <w:bookmarkEnd w:id="0"/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1.现有产品的技术路线、工艺水平、技术水平或行业的发展历程、行业现状等：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6DBFD533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67A19201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70E71A4"/>
    <w:rsid w:val="1CEB7208"/>
    <w:rsid w:val="1DC22DF1"/>
    <w:rsid w:val="24594AF4"/>
    <w:rsid w:val="24CF5440"/>
    <w:rsid w:val="254F1D14"/>
    <w:rsid w:val="263B71BF"/>
    <w:rsid w:val="2A574CBB"/>
    <w:rsid w:val="30110809"/>
    <w:rsid w:val="38014F9A"/>
    <w:rsid w:val="3DE75F30"/>
    <w:rsid w:val="4BE83164"/>
    <w:rsid w:val="54871F0E"/>
    <w:rsid w:val="61A54544"/>
    <w:rsid w:val="65FB49E1"/>
    <w:rsid w:val="6E943794"/>
    <w:rsid w:val="6ED92188"/>
    <w:rsid w:val="71CB5E83"/>
    <w:rsid w:val="728F3D2C"/>
    <w:rsid w:val="74394FB6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748</Words>
  <Characters>761</Characters>
  <Lines>14</Lines>
  <Paragraphs>4</Paragraphs>
  <TotalTime>4</TotalTime>
  <ScaleCrop>false</ScaleCrop>
  <LinksUpToDate>false</LinksUpToDate>
  <CharactersWithSpaces>762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2025-07-17T03:18:47Z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700F6850901F4134BF086FE8B5134DFA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