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6C385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揭阳市荣军优抚医院职工食堂及病人食堂餐饮服务承包采购项目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附：营业执照、食品经营许可证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FBA5EC2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4BCFE7A2">
      <w:pP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</w:p>
    <w:p w14:paraId="3D763067">
      <w:pP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</w:pP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行业的发展历程、行业现状：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CEB7208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5512DC5"/>
    <w:rsid w:val="4BE83164"/>
    <w:rsid w:val="4EAB751E"/>
    <w:rsid w:val="54871F0E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A7844B0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742</Words>
  <Characters>751</Characters>
  <Lines>14</Lines>
  <Paragraphs>4</Paragraphs>
  <TotalTime>7</TotalTime>
  <ScaleCrop>false</ScaleCrop>
  <LinksUpToDate>false</LinksUpToDate>
  <CharactersWithSpaces>752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2025-09-02T01:15:50Z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F30DA24D117E41BDB78E05D675D04A24_13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