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600" w:lineRule="exact"/>
        <w:ind w:firstLine="0" w:firstLineChars="0"/>
        <w:jc w:val="center"/>
        <w:outlineLvl w:val="0"/>
        <w:rPr>
          <w:rFonts w:eastAsia="方正小标宋简体" w:cs="Times New Roman"/>
          <w:sz w:val="44"/>
          <w:szCs w:val="44"/>
        </w:rPr>
      </w:pPr>
    </w:p>
    <w:p>
      <w:pPr>
        <w:spacing w:after="0" w:line="600" w:lineRule="exact"/>
        <w:ind w:firstLine="0" w:firstLineChars="0"/>
        <w:jc w:val="center"/>
        <w:outlineLvl w:val="0"/>
        <w:rPr>
          <w:rFonts w:eastAsia="方正小标宋简体" w:cs="Times New Roman"/>
          <w:sz w:val="44"/>
          <w:szCs w:val="44"/>
        </w:rPr>
      </w:pPr>
    </w:p>
    <w:p>
      <w:pPr>
        <w:spacing w:after="0" w:line="600" w:lineRule="exact"/>
        <w:ind w:firstLine="0" w:firstLineChars="0"/>
        <w:jc w:val="center"/>
        <w:outlineLvl w:val="0"/>
        <w:rPr>
          <w:rFonts w:eastAsia="方正小标宋简体" w:cs="Times New Roman"/>
          <w:sz w:val="44"/>
          <w:szCs w:val="44"/>
        </w:rPr>
      </w:pPr>
    </w:p>
    <w:p>
      <w:pPr>
        <w:spacing w:after="0" w:line="600" w:lineRule="exact"/>
        <w:ind w:firstLine="0" w:firstLineChars="0"/>
        <w:jc w:val="center"/>
        <w:outlineLvl w:val="0"/>
        <w:rPr>
          <w:rFonts w:eastAsia="方正小标宋简体" w:cs="Times New Roman"/>
          <w:sz w:val="44"/>
          <w:szCs w:val="44"/>
        </w:rPr>
      </w:pPr>
      <w:r>
        <w:rPr>
          <w:rFonts w:eastAsia="方正小标宋简体" w:cs="Times New Roman"/>
          <w:sz w:val="44"/>
          <w:szCs w:val="44"/>
        </w:rPr>
        <w:t>农用地土壤重金属污染溯源项目（2026年）</w:t>
      </w:r>
    </w:p>
    <w:p>
      <w:pPr>
        <w:spacing w:after="0" w:line="600" w:lineRule="exact"/>
        <w:ind w:firstLine="0" w:firstLineChars="0"/>
        <w:jc w:val="center"/>
        <w:outlineLvl w:val="0"/>
        <w:rPr>
          <w:rFonts w:eastAsia="方正小标宋简体" w:cs="Times New Roman"/>
          <w:sz w:val="44"/>
          <w:szCs w:val="44"/>
        </w:rPr>
      </w:pPr>
      <w:r>
        <w:rPr>
          <w:rFonts w:eastAsia="方正小标宋简体" w:cs="Times New Roman"/>
          <w:sz w:val="44"/>
          <w:szCs w:val="44"/>
        </w:rPr>
        <w:t>需求书</w:t>
      </w: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p>
    <w:p>
      <w:pPr>
        <w:spacing w:after="0" w:line="600" w:lineRule="exact"/>
        <w:ind w:firstLine="0" w:firstLineChars="0"/>
        <w:jc w:val="center"/>
        <w:rPr>
          <w:rFonts w:cs="Times New Roman"/>
          <w:sz w:val="32"/>
          <w:szCs w:val="32"/>
        </w:rPr>
      </w:pPr>
      <w:r>
        <w:rPr>
          <w:rFonts w:cs="Times New Roman"/>
          <w:sz w:val="32"/>
          <w:szCs w:val="32"/>
        </w:rPr>
        <w:t>揭阳市生态环境局</w:t>
      </w:r>
    </w:p>
    <w:p>
      <w:pPr>
        <w:spacing w:after="0" w:line="600" w:lineRule="exact"/>
        <w:ind w:firstLine="0" w:firstLineChars="0"/>
        <w:jc w:val="center"/>
        <w:rPr>
          <w:rFonts w:cs="Times New Roman"/>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31" w:header="851" w:footer="992" w:gutter="0"/>
          <w:pgNumType w:fmt="numberInDash"/>
          <w:cols w:space="0" w:num="1"/>
          <w:docGrid w:type="lines" w:linePitch="312" w:charSpace="0"/>
        </w:sectPr>
      </w:pPr>
      <w:r>
        <w:rPr>
          <w:rFonts w:cs="Times New Roman"/>
          <w:sz w:val="32"/>
          <w:szCs w:val="32"/>
        </w:rPr>
        <w:t>2026年</w:t>
      </w:r>
      <w:r>
        <w:rPr>
          <w:rFonts w:hint="eastAsia" w:cs="Times New Roman"/>
          <w:sz w:val="32"/>
          <w:szCs w:val="32"/>
          <w:lang w:val="en-US" w:eastAsia="zh-CN"/>
        </w:rPr>
        <w:t>4</w:t>
      </w:r>
      <w:r>
        <w:rPr>
          <w:rFonts w:cs="Times New Roman"/>
          <w:sz w:val="32"/>
          <w:szCs w:val="32"/>
        </w:rPr>
        <w:t>月</w:t>
      </w:r>
    </w:p>
    <w:p>
      <w:pPr>
        <w:numPr>
          <w:ilvl w:val="0"/>
          <w:numId w:val="2"/>
        </w:numPr>
        <w:spacing w:line="600" w:lineRule="exact"/>
        <w:ind w:firstLine="640"/>
        <w:rPr>
          <w:rFonts w:eastAsia="黑体" w:cs="Times New Roman"/>
          <w:sz w:val="32"/>
          <w:szCs w:val="32"/>
        </w:rPr>
      </w:pPr>
      <w:r>
        <w:rPr>
          <w:rFonts w:eastAsia="黑体" w:cs="Times New Roman"/>
          <w:sz w:val="32"/>
          <w:szCs w:val="32"/>
        </w:rPr>
        <w:t>项目背景</w:t>
      </w:r>
    </w:p>
    <w:p>
      <w:pPr>
        <w:spacing w:after="0" w:line="600" w:lineRule="exact"/>
        <w:ind w:firstLine="640"/>
        <w:rPr>
          <w:rFonts w:cs="Times New Roman"/>
          <w:sz w:val="32"/>
          <w:szCs w:val="32"/>
          <w:lang w:bidi="ar"/>
        </w:rPr>
      </w:pPr>
      <w:r>
        <w:rPr>
          <w:rFonts w:cs="Times New Roman"/>
          <w:sz w:val="32"/>
          <w:szCs w:val="32"/>
          <w:lang w:bidi="ar"/>
        </w:rPr>
        <w:t>农用地土壤重金属污染溯源是源头防控工作中的重要一环，查明当前农用地土壤重金属污染源，对于精准实施污染源治理、促进土壤环境质量改善具有重要意义。根据《中共中央</w:t>
      </w:r>
      <w:r>
        <w:rPr>
          <w:rFonts w:hint="eastAsia" w:cs="Times New Roman"/>
          <w:sz w:val="32"/>
          <w:szCs w:val="32"/>
          <w:lang w:val="en-US" w:eastAsia="zh-CN" w:bidi="ar"/>
        </w:rPr>
        <w:t xml:space="preserve"> </w:t>
      </w:r>
      <w:r>
        <w:rPr>
          <w:rFonts w:cs="Times New Roman"/>
          <w:sz w:val="32"/>
          <w:szCs w:val="32"/>
          <w:lang w:bidi="ar"/>
        </w:rPr>
        <w:t>国务院关于全面推进美丽中国建设的意见》（2023年12月27日）、</w:t>
      </w:r>
      <w:bookmarkStart w:id="0" w:name="_Hlk206573274"/>
      <w:r>
        <w:rPr>
          <w:rFonts w:cs="Times New Roman"/>
          <w:sz w:val="32"/>
          <w:szCs w:val="32"/>
          <w:lang w:bidi="ar"/>
        </w:rPr>
        <w:t>《关于印发〈土壤污染源头防控行动计划〉的通知》（环土壤〔2024〕80号）、《关于印发〈农用地土壤重金属污染溯源指南〉的通知》（环办土壤函〔2024〕442号）、《广东省生态环境厅办公室关于进一步加强农用地土壤污染源头防控有关工作的通知》（粤环办函〔2024〕58号）</w:t>
      </w:r>
      <w:bookmarkEnd w:id="0"/>
      <w:r>
        <w:rPr>
          <w:rFonts w:cs="Times New Roman"/>
          <w:sz w:val="32"/>
          <w:szCs w:val="32"/>
          <w:lang w:bidi="ar"/>
        </w:rPr>
        <w:t>等相关要求，分阶段推进农用地土壤重金属污染溯源和整治全覆盖。揭阳市按照国家、省有关工作部署，2026年拟开展农用地土壤重金属污染溯源项目（2026年）。</w:t>
      </w:r>
    </w:p>
    <w:p>
      <w:pPr>
        <w:numPr>
          <w:ilvl w:val="0"/>
          <w:numId w:val="2"/>
        </w:numPr>
        <w:spacing w:line="600" w:lineRule="exact"/>
        <w:ind w:firstLine="640"/>
        <w:rPr>
          <w:rFonts w:eastAsia="黑体" w:cs="Times New Roman"/>
          <w:sz w:val="32"/>
          <w:szCs w:val="32"/>
        </w:rPr>
      </w:pPr>
      <w:r>
        <w:rPr>
          <w:rFonts w:eastAsia="黑体" w:cs="Times New Roman"/>
          <w:sz w:val="32"/>
          <w:szCs w:val="32"/>
        </w:rPr>
        <w:t>项目任务</w:t>
      </w:r>
    </w:p>
    <w:p>
      <w:pPr>
        <w:spacing w:after="0" w:line="600" w:lineRule="exact"/>
        <w:ind w:firstLine="640"/>
        <w:rPr>
          <w:rFonts w:cs="Times New Roman"/>
          <w:sz w:val="32"/>
          <w:szCs w:val="32"/>
        </w:rPr>
      </w:pPr>
      <w:r>
        <w:rPr>
          <w:rFonts w:cs="Times New Roman"/>
          <w:sz w:val="32"/>
          <w:szCs w:val="32"/>
        </w:rPr>
        <w:t>针对揭阳普宁市共53个行政村的受污染农用地，通过信息资料收集与分析、现场踏勘与访谈、土壤污染成因研判、补充调查与监测等方式，核实农用地土壤重金属人为污染源，形成当前农用地土壤重金属污染源清单和污染源信息“一张图”，提出有针对性的污染源头管控措施，最终编制农用地土壤重金属污染溯源项目研究报告（普宁市）（含污染源头管控工作方案），实现县区受污染农用地土壤排查面积覆盖率达100%。</w:t>
      </w:r>
    </w:p>
    <w:p>
      <w:pPr>
        <w:numPr>
          <w:ilvl w:val="0"/>
          <w:numId w:val="2"/>
        </w:numPr>
        <w:spacing w:line="600" w:lineRule="exact"/>
        <w:ind w:firstLine="640"/>
        <w:rPr>
          <w:rFonts w:eastAsia="黑体" w:cs="Times New Roman"/>
          <w:sz w:val="32"/>
          <w:szCs w:val="32"/>
        </w:rPr>
      </w:pPr>
      <w:r>
        <w:rPr>
          <w:rFonts w:eastAsia="黑体" w:cs="Times New Roman"/>
          <w:sz w:val="32"/>
          <w:szCs w:val="32"/>
        </w:rPr>
        <w:t>项目开展依据</w:t>
      </w:r>
    </w:p>
    <w:p>
      <w:pPr>
        <w:spacing w:after="0" w:line="600" w:lineRule="exact"/>
        <w:ind w:firstLine="640"/>
        <w:rPr>
          <w:rFonts w:cs="Times New Roman"/>
          <w:sz w:val="32"/>
          <w:szCs w:val="32"/>
        </w:rPr>
      </w:pPr>
      <w:r>
        <w:rPr>
          <w:rFonts w:cs="Times New Roman"/>
          <w:sz w:val="32"/>
          <w:szCs w:val="32"/>
        </w:rPr>
        <w:t>（1）《中共中央 国务院关于深入打好污染防治攻坚战的意见》（国务院公告2021年第32号）；</w:t>
      </w:r>
    </w:p>
    <w:p>
      <w:pPr>
        <w:spacing w:after="0" w:line="600" w:lineRule="exact"/>
        <w:ind w:firstLine="640"/>
        <w:rPr>
          <w:rFonts w:cs="Times New Roman"/>
          <w:sz w:val="32"/>
          <w:szCs w:val="32"/>
        </w:rPr>
      </w:pPr>
      <w:r>
        <w:rPr>
          <w:rFonts w:cs="Times New Roman"/>
          <w:sz w:val="32"/>
          <w:szCs w:val="32"/>
        </w:rPr>
        <w:t>（2）《中华人民共和国土壤污染防治法》（2018年8月31日第十三届全国人民代表大会常务委员会第五次会议通过）；</w:t>
      </w:r>
    </w:p>
    <w:p>
      <w:pPr>
        <w:spacing w:after="0" w:line="600" w:lineRule="exact"/>
        <w:ind w:firstLine="640"/>
        <w:rPr>
          <w:rFonts w:cs="Times New Roman"/>
          <w:sz w:val="32"/>
          <w:szCs w:val="32"/>
        </w:rPr>
      </w:pPr>
      <w:r>
        <w:rPr>
          <w:rFonts w:cs="Times New Roman"/>
          <w:sz w:val="32"/>
          <w:szCs w:val="32"/>
        </w:rPr>
        <w:t>（3）《中华人民共和国大气污染防治法》（2018年10月26日第十三届全国人民代表大会常务委员会第六次会议第二次修正）；</w:t>
      </w:r>
    </w:p>
    <w:p>
      <w:pPr>
        <w:spacing w:after="0" w:line="600" w:lineRule="exact"/>
        <w:ind w:firstLine="640"/>
        <w:rPr>
          <w:rFonts w:cs="Times New Roman"/>
          <w:sz w:val="32"/>
          <w:szCs w:val="32"/>
        </w:rPr>
      </w:pPr>
      <w:r>
        <w:rPr>
          <w:rFonts w:cs="Times New Roman"/>
          <w:sz w:val="32"/>
          <w:szCs w:val="32"/>
        </w:rPr>
        <w:t>（4）《中华人民共和国水污染防治法》（2017年6月27日第十二届全国人民代表大会常务委员会第二十八次会议第二次修正）；</w:t>
      </w:r>
    </w:p>
    <w:p>
      <w:pPr>
        <w:spacing w:after="0" w:line="600" w:lineRule="exact"/>
        <w:ind w:firstLine="640"/>
        <w:rPr>
          <w:rFonts w:cs="Times New Roman"/>
          <w:sz w:val="32"/>
          <w:szCs w:val="32"/>
        </w:rPr>
      </w:pPr>
      <w:r>
        <w:rPr>
          <w:rFonts w:cs="Times New Roman"/>
          <w:sz w:val="32"/>
          <w:szCs w:val="32"/>
        </w:rPr>
        <w:t>（5）《中华人民共和国固体废物污染环境防治法》（2020年4月29日第十三届全国人民代表大会常务委员会第十七次会议第二次修订）；</w:t>
      </w:r>
    </w:p>
    <w:p>
      <w:pPr>
        <w:spacing w:after="0" w:line="600" w:lineRule="exact"/>
        <w:ind w:firstLine="640"/>
        <w:rPr>
          <w:rFonts w:cs="Times New Roman"/>
          <w:sz w:val="32"/>
          <w:szCs w:val="32"/>
        </w:rPr>
      </w:pPr>
      <w:r>
        <w:rPr>
          <w:rFonts w:cs="Times New Roman"/>
          <w:sz w:val="32"/>
          <w:szCs w:val="32"/>
        </w:rPr>
        <w:t>（6）《土壤污染防治行动计划》（国发〔2016〕31号）；</w:t>
      </w:r>
    </w:p>
    <w:p>
      <w:pPr>
        <w:spacing w:after="0" w:line="600" w:lineRule="exact"/>
        <w:ind w:firstLine="640"/>
        <w:rPr>
          <w:rFonts w:cs="Times New Roman"/>
          <w:sz w:val="32"/>
          <w:szCs w:val="32"/>
        </w:rPr>
      </w:pPr>
      <w:r>
        <w:rPr>
          <w:rFonts w:cs="Times New Roman"/>
          <w:sz w:val="32"/>
          <w:szCs w:val="32"/>
        </w:rPr>
        <w:t>（7）《农用地土壤环境管理办法（试行）》（中华人民共和国环境保护部、中华人民共和国农业部令第46号）；</w:t>
      </w:r>
    </w:p>
    <w:p>
      <w:pPr>
        <w:spacing w:after="0" w:line="600" w:lineRule="exact"/>
        <w:ind w:firstLine="640"/>
        <w:rPr>
          <w:rFonts w:cs="Times New Roman"/>
          <w:sz w:val="32"/>
          <w:szCs w:val="32"/>
        </w:rPr>
      </w:pPr>
      <w:r>
        <w:rPr>
          <w:rFonts w:cs="Times New Roman"/>
          <w:sz w:val="32"/>
          <w:szCs w:val="32"/>
        </w:rPr>
        <w:t>（8）关于印发《农用地土壤镉等重金属污染源头防治行动实施方案》（环办土壤〔2021〕21号）；</w:t>
      </w:r>
    </w:p>
    <w:p>
      <w:pPr>
        <w:spacing w:after="0" w:line="600" w:lineRule="exact"/>
        <w:ind w:firstLine="640"/>
        <w:rPr>
          <w:rFonts w:cs="Times New Roman"/>
        </w:rPr>
      </w:pPr>
      <w:r>
        <w:rPr>
          <w:rFonts w:cs="Times New Roman"/>
          <w:sz w:val="32"/>
          <w:szCs w:val="32"/>
        </w:rPr>
        <w:t>（9）《中共中央 国务院关于全面推进美丽中国建设的意见》（2023年12月27日）；</w:t>
      </w:r>
    </w:p>
    <w:p>
      <w:pPr>
        <w:spacing w:after="0" w:line="600" w:lineRule="exact"/>
        <w:ind w:firstLine="640"/>
        <w:rPr>
          <w:rFonts w:cs="Times New Roman"/>
          <w:sz w:val="32"/>
          <w:szCs w:val="32"/>
        </w:rPr>
      </w:pPr>
      <w:r>
        <w:rPr>
          <w:rFonts w:cs="Times New Roman"/>
          <w:sz w:val="32"/>
          <w:szCs w:val="32"/>
        </w:rPr>
        <w:t>（10）《关于印发〈土壤污染源头防控行动计划〉的通知》（环土壤〔2024〕80号）；</w:t>
      </w:r>
    </w:p>
    <w:p>
      <w:pPr>
        <w:spacing w:after="0" w:line="600" w:lineRule="exact"/>
        <w:ind w:firstLine="640"/>
        <w:rPr>
          <w:rFonts w:cs="Times New Roman"/>
          <w:sz w:val="32"/>
          <w:szCs w:val="32"/>
        </w:rPr>
      </w:pPr>
      <w:r>
        <w:rPr>
          <w:rFonts w:cs="Times New Roman"/>
          <w:sz w:val="32"/>
          <w:szCs w:val="32"/>
        </w:rPr>
        <w:t>（11）《关于印发〈农用地土壤重金属污染溯源指南〉的通知》（环办土壤函〔2024〕442号）；</w:t>
      </w:r>
    </w:p>
    <w:p>
      <w:pPr>
        <w:spacing w:after="0" w:line="600" w:lineRule="exact"/>
        <w:ind w:firstLine="640"/>
        <w:rPr>
          <w:rFonts w:cs="Times New Roman"/>
          <w:sz w:val="32"/>
          <w:szCs w:val="32"/>
        </w:rPr>
      </w:pPr>
      <w:r>
        <w:rPr>
          <w:rFonts w:cs="Times New Roman"/>
          <w:sz w:val="32"/>
          <w:szCs w:val="32"/>
        </w:rPr>
        <w:t>（12）《广东省生态环境厅办公室关于进一步加强农用地土壤污染源头防控有关工作的通知》（粤环办函〔2024〕58号）；</w:t>
      </w:r>
    </w:p>
    <w:p>
      <w:pPr>
        <w:spacing w:after="0" w:line="600" w:lineRule="exact"/>
        <w:ind w:firstLine="640"/>
        <w:rPr>
          <w:rFonts w:cs="Times New Roman"/>
          <w:sz w:val="32"/>
          <w:szCs w:val="32"/>
        </w:rPr>
      </w:pPr>
      <w:r>
        <w:rPr>
          <w:rFonts w:cs="Times New Roman"/>
          <w:sz w:val="32"/>
          <w:szCs w:val="32"/>
        </w:rPr>
        <w:t>（13）《广东省土壤污染防治行动计划实施方案》（2016年12月30日）；</w:t>
      </w:r>
    </w:p>
    <w:p>
      <w:pPr>
        <w:spacing w:after="0" w:line="600" w:lineRule="exact"/>
        <w:ind w:firstLine="640"/>
        <w:rPr>
          <w:rFonts w:cs="Times New Roman"/>
          <w:sz w:val="32"/>
          <w:szCs w:val="32"/>
        </w:rPr>
      </w:pPr>
      <w:r>
        <w:rPr>
          <w:rFonts w:cs="Times New Roman"/>
          <w:sz w:val="32"/>
          <w:szCs w:val="32"/>
        </w:rPr>
        <w:t>（14）《土壤环境质量 农用地土壤污染风险管控标准（试行）》（GB 15618-2018）；</w:t>
      </w:r>
    </w:p>
    <w:p>
      <w:pPr>
        <w:spacing w:after="0" w:line="600" w:lineRule="exact"/>
        <w:ind w:firstLine="640"/>
        <w:rPr>
          <w:rFonts w:cs="Times New Roman"/>
          <w:sz w:val="32"/>
          <w:szCs w:val="32"/>
        </w:rPr>
      </w:pPr>
      <w:r>
        <w:rPr>
          <w:rFonts w:cs="Times New Roman"/>
          <w:sz w:val="32"/>
          <w:szCs w:val="32"/>
        </w:rPr>
        <w:t>（15）《农田土壤环境质量监测技术规范》（NY/T 395-2012）；</w:t>
      </w:r>
    </w:p>
    <w:p>
      <w:pPr>
        <w:spacing w:after="0" w:line="600" w:lineRule="exact"/>
        <w:ind w:firstLine="640"/>
        <w:rPr>
          <w:rFonts w:cs="Times New Roman"/>
          <w:sz w:val="32"/>
          <w:szCs w:val="32"/>
        </w:rPr>
      </w:pPr>
      <w:r>
        <w:rPr>
          <w:rFonts w:cs="Times New Roman"/>
          <w:sz w:val="32"/>
          <w:szCs w:val="32"/>
        </w:rPr>
        <w:t>（16）《农用水源环境质量监测技术规范》（NY/T 396-2000）；</w:t>
      </w:r>
    </w:p>
    <w:p>
      <w:pPr>
        <w:spacing w:after="0" w:line="600" w:lineRule="exact"/>
        <w:ind w:firstLine="640"/>
        <w:rPr>
          <w:rFonts w:cs="Times New Roman"/>
          <w:sz w:val="32"/>
          <w:szCs w:val="32"/>
        </w:rPr>
      </w:pPr>
      <w:r>
        <w:rPr>
          <w:rFonts w:cs="Times New Roman"/>
          <w:sz w:val="32"/>
          <w:szCs w:val="32"/>
        </w:rPr>
        <w:t>（17）《土壤环境监测技术规范》（HJ/T 166-2004）；</w:t>
      </w:r>
    </w:p>
    <w:p>
      <w:pPr>
        <w:spacing w:after="0" w:line="600" w:lineRule="exact"/>
        <w:ind w:firstLine="640"/>
        <w:rPr>
          <w:rFonts w:cs="Times New Roman"/>
          <w:sz w:val="32"/>
          <w:szCs w:val="32"/>
        </w:rPr>
      </w:pPr>
      <w:r>
        <w:rPr>
          <w:rFonts w:cs="Times New Roman"/>
          <w:sz w:val="32"/>
          <w:szCs w:val="32"/>
        </w:rPr>
        <w:t>（18）《地表水环境质量监测技术规范》（HJ 91.2-2022）；</w:t>
      </w:r>
    </w:p>
    <w:p>
      <w:pPr>
        <w:spacing w:after="0" w:line="600" w:lineRule="exact"/>
        <w:ind w:firstLine="640"/>
        <w:rPr>
          <w:rFonts w:cs="Times New Roman"/>
          <w:sz w:val="32"/>
          <w:szCs w:val="32"/>
        </w:rPr>
      </w:pPr>
      <w:r>
        <w:rPr>
          <w:rFonts w:cs="Times New Roman"/>
          <w:sz w:val="32"/>
          <w:szCs w:val="32"/>
        </w:rPr>
        <w:t>（19）《食品安全国家标准 食品中物质的测定》（GB 5009-2014）；</w:t>
      </w:r>
    </w:p>
    <w:p>
      <w:pPr>
        <w:spacing w:after="0" w:line="600" w:lineRule="exact"/>
        <w:ind w:firstLine="640"/>
        <w:rPr>
          <w:rFonts w:cs="Times New Roman"/>
          <w:sz w:val="32"/>
          <w:szCs w:val="32"/>
        </w:rPr>
      </w:pPr>
      <w:r>
        <w:rPr>
          <w:rFonts w:cs="Times New Roman"/>
          <w:sz w:val="32"/>
          <w:szCs w:val="32"/>
        </w:rPr>
        <w:t>（20）《水质采样样品的保存和管理技术规定》（HJ 493-2009）；</w:t>
      </w:r>
    </w:p>
    <w:p>
      <w:pPr>
        <w:spacing w:after="0" w:line="600" w:lineRule="exact"/>
        <w:ind w:firstLine="640"/>
        <w:rPr>
          <w:rFonts w:cs="Times New Roman"/>
          <w:sz w:val="32"/>
          <w:szCs w:val="32"/>
        </w:rPr>
      </w:pPr>
      <w:r>
        <w:rPr>
          <w:rFonts w:cs="Times New Roman"/>
          <w:sz w:val="32"/>
          <w:szCs w:val="32"/>
        </w:rPr>
        <w:t>（21）《食品安全国家标准 食品中污染物限量》（GB 2762-2022）；</w:t>
      </w:r>
    </w:p>
    <w:p>
      <w:pPr>
        <w:spacing w:after="0" w:line="600" w:lineRule="exact"/>
        <w:ind w:firstLine="640"/>
        <w:rPr>
          <w:rFonts w:cs="Times New Roman"/>
          <w:sz w:val="32"/>
          <w:szCs w:val="32"/>
        </w:rPr>
      </w:pPr>
      <w:r>
        <w:rPr>
          <w:rFonts w:cs="Times New Roman"/>
          <w:sz w:val="32"/>
          <w:szCs w:val="32"/>
        </w:rPr>
        <w:t>（22）《粮食（含谷物、豆类、薯类）及制品中铅、镉、铬、汞、硒、砷、铜、锌等八种元素限量》（NY 861-2004）；</w:t>
      </w:r>
    </w:p>
    <w:p>
      <w:pPr>
        <w:spacing w:after="0" w:line="600" w:lineRule="exact"/>
        <w:ind w:firstLine="640"/>
        <w:rPr>
          <w:rFonts w:cs="Times New Roman"/>
          <w:sz w:val="32"/>
          <w:szCs w:val="32"/>
        </w:rPr>
      </w:pPr>
      <w:r>
        <w:rPr>
          <w:rFonts w:cs="Times New Roman"/>
          <w:sz w:val="32"/>
          <w:szCs w:val="32"/>
        </w:rPr>
        <w:t>（23）《土地质量地球化学评价规范》（DZ/T 0295-2016）；</w:t>
      </w:r>
    </w:p>
    <w:p>
      <w:pPr>
        <w:spacing w:after="0" w:line="600" w:lineRule="exact"/>
        <w:ind w:firstLine="640"/>
        <w:rPr>
          <w:rFonts w:cs="Times New Roman"/>
          <w:sz w:val="32"/>
          <w:szCs w:val="32"/>
        </w:rPr>
      </w:pPr>
      <w:r>
        <w:rPr>
          <w:rFonts w:cs="Times New Roman"/>
          <w:sz w:val="32"/>
          <w:szCs w:val="32"/>
        </w:rPr>
        <w:t>（24）《环境空气 降尘的测定 重量法》（HJ 1221-2021）；</w:t>
      </w:r>
    </w:p>
    <w:p>
      <w:pPr>
        <w:spacing w:after="0" w:line="600" w:lineRule="exact"/>
        <w:ind w:firstLine="640"/>
        <w:rPr>
          <w:rFonts w:cs="Times New Roman"/>
          <w:sz w:val="32"/>
          <w:szCs w:val="32"/>
        </w:rPr>
      </w:pPr>
      <w:r>
        <w:rPr>
          <w:rFonts w:cs="Times New Roman"/>
          <w:sz w:val="32"/>
          <w:szCs w:val="32"/>
        </w:rPr>
        <w:t>（25）《区域生态地球化学评价规范》（DZ/T 0289-2015）；</w:t>
      </w:r>
    </w:p>
    <w:p>
      <w:pPr>
        <w:spacing w:after="0" w:line="600" w:lineRule="exact"/>
        <w:ind w:firstLine="640"/>
        <w:rPr>
          <w:rFonts w:cs="Times New Roman"/>
          <w:sz w:val="32"/>
          <w:szCs w:val="32"/>
        </w:rPr>
      </w:pPr>
      <w:r>
        <w:rPr>
          <w:rFonts w:cs="Times New Roman"/>
          <w:sz w:val="32"/>
          <w:szCs w:val="32"/>
        </w:rPr>
        <w:t>（26）《畜禽粪便监测技术规范》（GB/T 25169-2022）；</w:t>
      </w:r>
    </w:p>
    <w:p>
      <w:pPr>
        <w:spacing w:after="0" w:line="600" w:lineRule="exact"/>
        <w:ind w:firstLine="640"/>
        <w:rPr>
          <w:rFonts w:cs="Times New Roman"/>
          <w:sz w:val="32"/>
          <w:szCs w:val="32"/>
        </w:rPr>
      </w:pPr>
      <w:r>
        <w:rPr>
          <w:rFonts w:cs="Times New Roman"/>
          <w:sz w:val="32"/>
          <w:szCs w:val="32"/>
        </w:rPr>
        <w:t>（27）《农业机械试验条件 测定方法的一般规定》（GB/T 5262-2008）；</w:t>
      </w:r>
    </w:p>
    <w:p>
      <w:pPr>
        <w:spacing w:after="0" w:line="600" w:lineRule="exact"/>
        <w:ind w:firstLine="640"/>
        <w:rPr>
          <w:rFonts w:cs="Times New Roman"/>
          <w:sz w:val="32"/>
          <w:szCs w:val="32"/>
        </w:rPr>
      </w:pPr>
      <w:r>
        <w:rPr>
          <w:rFonts w:cs="Times New Roman"/>
          <w:sz w:val="32"/>
          <w:szCs w:val="32"/>
        </w:rPr>
        <w:t>（28）《农田灌溉水质标准》（GB 5084-2021）；</w:t>
      </w:r>
    </w:p>
    <w:p>
      <w:pPr>
        <w:spacing w:after="0" w:line="600" w:lineRule="exact"/>
        <w:ind w:firstLine="640"/>
        <w:rPr>
          <w:rFonts w:cs="Times New Roman"/>
          <w:sz w:val="32"/>
          <w:szCs w:val="32"/>
        </w:rPr>
      </w:pPr>
      <w:r>
        <w:rPr>
          <w:rFonts w:cs="Times New Roman"/>
          <w:sz w:val="32"/>
          <w:szCs w:val="32"/>
        </w:rPr>
        <w:t>以及其他相关政策与技术规范要求。</w:t>
      </w:r>
    </w:p>
    <w:p>
      <w:pPr>
        <w:numPr>
          <w:ilvl w:val="0"/>
          <w:numId w:val="2"/>
        </w:numPr>
        <w:spacing w:line="600" w:lineRule="exact"/>
        <w:ind w:firstLine="640"/>
        <w:rPr>
          <w:rFonts w:eastAsia="黑体" w:cs="Times New Roman"/>
          <w:sz w:val="32"/>
          <w:szCs w:val="32"/>
        </w:rPr>
      </w:pPr>
      <w:r>
        <w:rPr>
          <w:rFonts w:eastAsia="黑体" w:cs="Times New Roman"/>
          <w:sz w:val="32"/>
          <w:szCs w:val="32"/>
        </w:rPr>
        <w:t>项目内容</w:t>
      </w:r>
    </w:p>
    <w:p>
      <w:pPr>
        <w:spacing w:after="0" w:line="600" w:lineRule="exact"/>
        <w:ind w:firstLine="643"/>
        <w:rPr>
          <w:rFonts w:cs="Times New Roman"/>
          <w:b/>
          <w:bCs/>
          <w:sz w:val="32"/>
          <w:szCs w:val="32"/>
        </w:rPr>
      </w:pPr>
      <w:r>
        <w:rPr>
          <w:rFonts w:eastAsia="楷体_GB2312" w:cs="Times New Roman"/>
          <w:b/>
          <w:bCs/>
          <w:sz w:val="32"/>
          <w:szCs w:val="32"/>
        </w:rPr>
        <w:t>1、资料收集与分析准备</w:t>
      </w:r>
    </w:p>
    <w:p>
      <w:pPr>
        <w:spacing w:after="0" w:line="600" w:lineRule="exact"/>
        <w:ind w:firstLine="640"/>
        <w:rPr>
          <w:rFonts w:cs="Times New Roman"/>
          <w:sz w:val="32"/>
          <w:szCs w:val="32"/>
        </w:rPr>
      </w:pPr>
      <w:r>
        <w:rPr>
          <w:rFonts w:cs="Times New Roman"/>
          <w:sz w:val="32"/>
          <w:szCs w:val="32"/>
        </w:rPr>
        <w:t>针对揭阳普宁市的全部受污染农用地，通过信息资料收集、人为污染源情况研判、土壤污染成因初步研判等，识别农用地土壤重金属潜在污染源，并准备现场工作材料。</w:t>
      </w:r>
    </w:p>
    <w:p>
      <w:pPr>
        <w:widowControl/>
        <w:numPr>
          <w:ilvl w:val="255"/>
          <w:numId w:val="0"/>
        </w:numPr>
        <w:spacing w:after="0" w:line="600" w:lineRule="exact"/>
        <w:ind w:firstLine="643" w:firstLineChars="200"/>
        <w:jc w:val="left"/>
        <w:rPr>
          <w:rFonts w:eastAsia="楷体_GB2312" w:cs="Times New Roman"/>
          <w:b/>
          <w:bCs/>
          <w:sz w:val="32"/>
          <w:szCs w:val="32"/>
        </w:rPr>
      </w:pPr>
      <w:r>
        <w:rPr>
          <w:rFonts w:eastAsia="楷体_GB2312" w:cs="Times New Roman"/>
          <w:b/>
          <w:bCs/>
          <w:sz w:val="32"/>
          <w:szCs w:val="32"/>
        </w:rPr>
        <w:t>2、现场排查与补充监测</w:t>
      </w:r>
    </w:p>
    <w:p>
      <w:pPr>
        <w:widowControl/>
        <w:numPr>
          <w:ilvl w:val="255"/>
          <w:numId w:val="0"/>
        </w:numPr>
        <w:spacing w:after="0" w:line="600" w:lineRule="exact"/>
        <w:ind w:firstLine="640" w:firstLineChars="200"/>
        <w:jc w:val="left"/>
        <w:rPr>
          <w:rFonts w:cs="Times New Roman"/>
          <w:sz w:val="32"/>
          <w:szCs w:val="32"/>
          <w:lang w:bidi="ar"/>
        </w:rPr>
      </w:pPr>
      <w:r>
        <w:rPr>
          <w:rFonts w:cs="Times New Roman"/>
          <w:sz w:val="32"/>
          <w:szCs w:val="32"/>
          <w:lang w:bidi="ar"/>
        </w:rPr>
        <w:t>根据污染成因初步研判结果和潜在污染源清单，开展现场查勘与访谈、污染成因/污染源定性判断、潜在污染源排查、补充采样与监测等，研判污染成因，筛选出疑似污染源。</w:t>
      </w:r>
    </w:p>
    <w:p>
      <w:pPr>
        <w:spacing w:after="0" w:line="600" w:lineRule="exact"/>
        <w:ind w:firstLine="643"/>
        <w:rPr>
          <w:rFonts w:eastAsia="楷体_GB2312" w:cs="Times New Roman"/>
          <w:b/>
          <w:bCs/>
          <w:sz w:val="32"/>
          <w:szCs w:val="32"/>
        </w:rPr>
      </w:pPr>
      <w:r>
        <w:rPr>
          <w:rFonts w:eastAsia="楷体_GB2312" w:cs="Times New Roman"/>
          <w:b/>
          <w:bCs/>
          <w:sz w:val="32"/>
          <w:szCs w:val="32"/>
        </w:rPr>
        <w:t>3、</w:t>
      </w:r>
      <w:r>
        <w:rPr>
          <w:rFonts w:cs="Times New Roman"/>
          <w:b/>
          <w:bCs/>
          <w:sz w:val="32"/>
          <w:szCs w:val="32"/>
          <w:lang w:bidi="ar"/>
        </w:rPr>
        <w:t>清单建立与成果整理</w:t>
      </w:r>
    </w:p>
    <w:p>
      <w:pPr>
        <w:pStyle w:val="2"/>
        <w:pBdr>
          <w:right w:val="none" w:color="auto" w:sz="0" w:space="1"/>
        </w:pBdr>
        <w:snapToGrid/>
        <w:spacing w:after="0" w:line="600" w:lineRule="exact"/>
        <w:ind w:firstLine="640"/>
        <w:rPr>
          <w:rFonts w:cs="Times New Roman"/>
          <w:sz w:val="32"/>
          <w:szCs w:val="32"/>
          <w:lang w:bidi="ar"/>
        </w:rPr>
      </w:pPr>
      <w:r>
        <w:rPr>
          <w:rFonts w:cs="Times New Roman"/>
          <w:sz w:val="32"/>
          <w:szCs w:val="32"/>
          <w:lang w:bidi="ar"/>
        </w:rPr>
        <w:t>通过对疑似污染源的进一步研判，核实确定污染源清单，形成污染源信息“一张图”，并结合地方实际情况，针对性提出见效快、成本低、易操作的农用地土壤重金属污染源头管控工作方案。</w:t>
      </w:r>
    </w:p>
    <w:p>
      <w:pPr>
        <w:numPr>
          <w:ilvl w:val="0"/>
          <w:numId w:val="2"/>
        </w:numPr>
        <w:spacing w:line="600" w:lineRule="exact"/>
        <w:ind w:firstLine="640"/>
        <w:rPr>
          <w:rFonts w:eastAsia="黑体" w:cs="Times New Roman"/>
          <w:sz w:val="32"/>
          <w:szCs w:val="32"/>
        </w:rPr>
      </w:pPr>
      <w:r>
        <w:rPr>
          <w:rFonts w:eastAsia="黑体" w:cs="Times New Roman"/>
          <w:sz w:val="32"/>
          <w:szCs w:val="32"/>
        </w:rPr>
        <w:t>项目进度要求</w:t>
      </w:r>
    </w:p>
    <w:p>
      <w:pPr>
        <w:spacing w:after="0" w:line="600" w:lineRule="exact"/>
        <w:ind w:firstLine="640"/>
        <w:rPr>
          <w:rFonts w:cs="Times New Roman"/>
          <w:sz w:val="32"/>
          <w:szCs w:val="32"/>
        </w:rPr>
      </w:pPr>
      <w:r>
        <w:rPr>
          <w:rFonts w:cs="Times New Roman"/>
          <w:sz w:val="32"/>
          <w:szCs w:val="32"/>
        </w:rPr>
        <w:t>自合同签订之日起至2026年</w:t>
      </w:r>
      <w:r>
        <w:rPr>
          <w:rFonts w:hint="eastAsia" w:cs="Times New Roman"/>
          <w:sz w:val="32"/>
          <w:szCs w:val="32"/>
          <w:lang w:val="en-US" w:eastAsia="zh-CN"/>
        </w:rPr>
        <w:t>11</w:t>
      </w:r>
      <w:r>
        <w:rPr>
          <w:rFonts w:cs="Times New Roman"/>
          <w:sz w:val="32"/>
          <w:szCs w:val="32"/>
        </w:rPr>
        <w:t>月</w:t>
      </w:r>
      <w:r>
        <w:rPr>
          <w:rFonts w:hint="eastAsia" w:cs="Times New Roman"/>
          <w:sz w:val="32"/>
          <w:szCs w:val="32"/>
          <w:lang w:val="en-US" w:eastAsia="zh-CN"/>
        </w:rPr>
        <w:t>30日</w:t>
      </w:r>
      <w:r>
        <w:rPr>
          <w:rFonts w:cs="Times New Roman"/>
          <w:sz w:val="32"/>
          <w:szCs w:val="32"/>
        </w:rPr>
        <w:t>完成，成果满足委托方及相关技术规范的要求。具体进度安排根据国家及省的要求进行调整。</w:t>
      </w:r>
    </w:p>
    <w:p>
      <w:pPr>
        <w:numPr>
          <w:ilvl w:val="0"/>
          <w:numId w:val="2"/>
        </w:numPr>
        <w:spacing w:line="600" w:lineRule="exact"/>
        <w:ind w:firstLine="640"/>
        <w:rPr>
          <w:rFonts w:eastAsia="黑体" w:cs="Times New Roman"/>
          <w:sz w:val="32"/>
          <w:szCs w:val="32"/>
        </w:rPr>
      </w:pPr>
      <w:r>
        <w:rPr>
          <w:rFonts w:eastAsia="黑体" w:cs="Times New Roman"/>
          <w:sz w:val="32"/>
          <w:szCs w:val="32"/>
        </w:rPr>
        <w:t>项目提交成果</w:t>
      </w:r>
    </w:p>
    <w:p>
      <w:pPr>
        <w:spacing w:after="0" w:line="600" w:lineRule="exact"/>
        <w:ind w:firstLine="640"/>
        <w:rPr>
          <w:rFonts w:cs="Times New Roman"/>
          <w:sz w:val="32"/>
          <w:szCs w:val="32"/>
        </w:rPr>
      </w:pPr>
      <w:r>
        <w:rPr>
          <w:rFonts w:cs="Times New Roman"/>
          <w:sz w:val="32"/>
          <w:szCs w:val="32"/>
        </w:rPr>
        <w:t>（1）农用地土壤重金属污染溯源项目实施方案（普宁市）；</w:t>
      </w:r>
    </w:p>
    <w:p>
      <w:pPr>
        <w:spacing w:after="0" w:line="600" w:lineRule="exact"/>
        <w:ind w:firstLine="640"/>
        <w:rPr>
          <w:rFonts w:cs="Times New Roman"/>
          <w:sz w:val="32"/>
          <w:szCs w:val="32"/>
        </w:rPr>
      </w:pPr>
      <w:r>
        <w:rPr>
          <w:rFonts w:cs="Times New Roman"/>
          <w:sz w:val="32"/>
          <w:szCs w:val="32"/>
        </w:rPr>
        <w:t>（2）农用地土壤重金属污染溯源项目研究报告（普宁市）（含污染源头管控工作方案）；</w:t>
      </w:r>
    </w:p>
    <w:p>
      <w:pPr>
        <w:spacing w:after="0" w:line="600" w:lineRule="exact"/>
        <w:ind w:firstLine="640"/>
        <w:rPr>
          <w:rFonts w:cs="Times New Roman"/>
          <w:sz w:val="32"/>
          <w:szCs w:val="32"/>
        </w:rPr>
      </w:pPr>
      <w:r>
        <w:rPr>
          <w:rFonts w:cs="Times New Roman"/>
          <w:sz w:val="32"/>
          <w:szCs w:val="32"/>
        </w:rPr>
        <w:t>（3）农用地土壤重金属污染源清单（普宁市）；</w:t>
      </w:r>
    </w:p>
    <w:p>
      <w:pPr>
        <w:spacing w:after="0" w:line="600" w:lineRule="exact"/>
        <w:ind w:firstLine="640"/>
        <w:rPr>
          <w:rFonts w:cs="Times New Roman"/>
          <w:sz w:val="32"/>
          <w:szCs w:val="32"/>
        </w:rPr>
      </w:pPr>
      <w:r>
        <w:rPr>
          <w:rFonts w:cs="Times New Roman"/>
          <w:sz w:val="32"/>
          <w:szCs w:val="32"/>
        </w:rPr>
        <w:t>（4）农用地土壤重金属污染源信息“一张图”（普宁市）。</w:t>
      </w:r>
    </w:p>
    <w:p>
      <w:pPr>
        <w:spacing w:after="0" w:line="600" w:lineRule="exact"/>
        <w:ind w:firstLine="640"/>
        <w:rPr>
          <w:rFonts w:eastAsia="黑体" w:cs="Times New Roman"/>
          <w:sz w:val="32"/>
          <w:szCs w:val="32"/>
        </w:rPr>
      </w:pPr>
      <w:r>
        <w:rPr>
          <w:rFonts w:eastAsia="黑体" w:cs="Times New Roman"/>
          <w:sz w:val="32"/>
          <w:szCs w:val="32"/>
        </w:rPr>
        <w:t>七、</w:t>
      </w:r>
      <w:r>
        <w:rPr>
          <w:rFonts w:hint="eastAsia" w:eastAsia="黑体" w:cs="Times New Roman"/>
          <w:sz w:val="32"/>
          <w:szCs w:val="32"/>
          <w:highlight w:val="none"/>
          <w:lang w:val="en-US" w:eastAsia="zh-CN"/>
        </w:rPr>
        <w:t>投标人</w:t>
      </w:r>
      <w:r>
        <w:rPr>
          <w:rFonts w:eastAsia="黑体" w:cs="Times New Roman"/>
          <w:sz w:val="32"/>
          <w:szCs w:val="32"/>
        </w:rPr>
        <w:t>资格要求</w:t>
      </w:r>
    </w:p>
    <w:p>
      <w:pPr>
        <w:spacing w:after="0" w:line="600" w:lineRule="exact"/>
        <w:ind w:firstLine="640"/>
        <w:rPr>
          <w:rFonts w:cs="Times New Roman"/>
          <w:sz w:val="32"/>
          <w:szCs w:val="32"/>
        </w:rPr>
      </w:pPr>
      <w:r>
        <w:rPr>
          <w:rFonts w:hint="eastAsia" w:cs="Times New Roman"/>
          <w:sz w:val="32"/>
          <w:szCs w:val="32"/>
          <w:highlight w:val="none"/>
          <w:lang w:eastAsia="zh-CN"/>
        </w:rPr>
        <w:t>投标人</w:t>
      </w:r>
      <w:r>
        <w:rPr>
          <w:rFonts w:cs="Times New Roman"/>
          <w:sz w:val="32"/>
          <w:szCs w:val="32"/>
        </w:rPr>
        <w:t>应具备《中华人民共和国政府采购法》第二十二条规定的条件，提供下列材料：</w:t>
      </w:r>
    </w:p>
    <w:p>
      <w:pPr>
        <w:spacing w:after="0" w:line="600" w:lineRule="exact"/>
        <w:ind w:firstLine="640"/>
        <w:rPr>
          <w:rFonts w:cs="Times New Roman"/>
          <w:sz w:val="32"/>
          <w:szCs w:val="32"/>
        </w:rPr>
      </w:pPr>
      <w:r>
        <w:rPr>
          <w:rFonts w:cs="Times New Roman"/>
          <w:sz w:val="32"/>
          <w:szCs w:val="32"/>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spacing w:after="0" w:line="600" w:lineRule="exact"/>
        <w:ind w:firstLine="640"/>
        <w:rPr>
          <w:rFonts w:cs="Times New Roman"/>
          <w:sz w:val="32"/>
          <w:szCs w:val="32"/>
        </w:rPr>
      </w:pPr>
      <w:r>
        <w:rPr>
          <w:rFonts w:cs="Times New Roman"/>
          <w:sz w:val="32"/>
          <w:szCs w:val="32"/>
        </w:rPr>
        <w:t>（2）有依法缴纳税收和社会保障资金的良好记录：提供投标截止日前6个月内任意1个月依法缴纳税收和社会保障资金的相关材料。如依法免税或不需要缴纳社会保障资金的，提供相应证明材料。</w:t>
      </w:r>
    </w:p>
    <w:p>
      <w:pPr>
        <w:spacing w:after="0" w:line="600" w:lineRule="exact"/>
        <w:ind w:firstLine="640"/>
        <w:rPr>
          <w:rFonts w:cs="Times New Roman"/>
          <w:sz w:val="32"/>
          <w:szCs w:val="32"/>
        </w:rPr>
      </w:pPr>
      <w:r>
        <w:rPr>
          <w:rFonts w:cs="Times New Roman"/>
          <w:sz w:val="32"/>
          <w:szCs w:val="32"/>
        </w:rPr>
        <w:t>（3）具有良好的商业信誉和健全的财务会计制度：供应商必须具有良好的商业信誉和健全的财务会计制度（提供202</w:t>
      </w:r>
      <w:r>
        <w:rPr>
          <w:rFonts w:hint="eastAsia" w:cs="Times New Roman"/>
          <w:sz w:val="32"/>
          <w:szCs w:val="32"/>
        </w:rPr>
        <w:t>5</w:t>
      </w:r>
      <w:r>
        <w:rPr>
          <w:rFonts w:cs="Times New Roman"/>
          <w:sz w:val="32"/>
          <w:szCs w:val="32"/>
        </w:rPr>
        <w:t>年度财务状况报告或基本开户行出具的资信证明）</w:t>
      </w:r>
    </w:p>
    <w:p>
      <w:pPr>
        <w:spacing w:after="0" w:line="600" w:lineRule="exact"/>
        <w:ind w:firstLine="640"/>
        <w:rPr>
          <w:rFonts w:cs="Times New Roman"/>
          <w:sz w:val="32"/>
          <w:szCs w:val="32"/>
        </w:rPr>
      </w:pPr>
      <w:r>
        <w:rPr>
          <w:rFonts w:cs="Times New Roman"/>
          <w:sz w:val="32"/>
          <w:szCs w:val="32"/>
        </w:rPr>
        <w:t>（4）履行合同所必需的设备和专业技术能力：按投标（响应）文件格式填报设备及专业技术能力情况。</w:t>
      </w:r>
    </w:p>
    <w:p>
      <w:pPr>
        <w:wordWrap w:val="0"/>
        <w:spacing w:after="0" w:line="600" w:lineRule="exact"/>
        <w:ind w:firstLine="640"/>
        <w:rPr>
          <w:rFonts w:cs="Times New Roman"/>
          <w:sz w:val="32"/>
          <w:szCs w:val="32"/>
        </w:rPr>
      </w:pPr>
      <w:r>
        <w:rPr>
          <w:rFonts w:hint="eastAsia" w:cs="Times New Roman"/>
          <w:sz w:val="32"/>
          <w:szCs w:val="32"/>
        </w:rPr>
        <w:t>（5）</w:t>
      </w:r>
      <w:r>
        <w:rPr>
          <w:rFonts w:cs="Times New Roman"/>
          <w:sz w:val="32"/>
          <w:szCs w:val="32"/>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spacing w:after="0" w:line="600" w:lineRule="exact"/>
        <w:ind w:firstLine="640"/>
        <w:rPr>
          <w:rFonts w:cs="Times New Roman"/>
          <w:sz w:val="32"/>
          <w:szCs w:val="32"/>
        </w:rPr>
      </w:pPr>
      <w:r>
        <w:rPr>
          <w:rFonts w:cs="Times New Roman"/>
          <w:sz w:val="32"/>
          <w:szCs w:val="32"/>
        </w:rPr>
        <w:t>（6）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spacing w:after="0" w:line="600" w:lineRule="exact"/>
        <w:ind w:firstLine="640"/>
        <w:rPr>
          <w:rFonts w:cs="Times New Roman"/>
          <w:sz w:val="32"/>
          <w:szCs w:val="32"/>
        </w:rPr>
      </w:pPr>
      <w:r>
        <w:rPr>
          <w:rFonts w:cs="Times New Roman"/>
          <w:sz w:val="32"/>
          <w:szCs w:val="32"/>
        </w:rPr>
        <w:t>（7）</w:t>
      </w:r>
      <w:r>
        <w:rPr>
          <w:rFonts w:hint="eastAsia" w:cs="Times New Roman"/>
          <w:sz w:val="32"/>
          <w:szCs w:val="32"/>
        </w:rPr>
        <w:t>本项目接受联合体响应，联合体家数最多不能超过2家，联合体协议中须明确主办方并载明联合体各方承担的工作和义务。联合体各方在同一招标项目中以自己名义单独投标或者参加其他联合体投标的，相关投标均无效</w:t>
      </w:r>
      <w:r>
        <w:rPr>
          <w:rFonts w:cs="Times New Roman"/>
          <w:sz w:val="32"/>
          <w:szCs w:val="32"/>
        </w:rPr>
        <w:t>。</w:t>
      </w:r>
    </w:p>
    <w:p>
      <w:pPr>
        <w:spacing w:line="600" w:lineRule="exact"/>
        <w:ind w:firstLine="640"/>
        <w:rPr>
          <w:rFonts w:cs="Times New Roman"/>
          <w:sz w:val="32"/>
          <w:szCs w:val="32"/>
        </w:rPr>
      </w:pPr>
      <w:r>
        <w:rPr>
          <w:rFonts w:eastAsia="黑体" w:cs="Times New Roman"/>
          <w:sz w:val="32"/>
          <w:szCs w:val="32"/>
        </w:rPr>
        <w:t>八、项目预算</w:t>
      </w:r>
    </w:p>
    <w:p>
      <w:pPr>
        <w:spacing w:after="0" w:line="600" w:lineRule="exact"/>
        <w:ind w:firstLine="640"/>
        <w:rPr>
          <w:rFonts w:cs="Times New Roman"/>
          <w:sz w:val="32"/>
          <w:szCs w:val="32"/>
        </w:rPr>
      </w:pPr>
      <w:r>
        <w:rPr>
          <w:rFonts w:cs="Times New Roman"/>
          <w:sz w:val="32"/>
          <w:szCs w:val="32"/>
          <w:highlight w:val="none"/>
        </w:rPr>
        <w:t>项目预算为</w:t>
      </w:r>
      <w:bookmarkStart w:id="2" w:name="_GoBack"/>
      <w:r>
        <w:rPr>
          <w:rFonts w:cs="Times New Roman"/>
          <w:color w:val="auto"/>
          <w:sz w:val="32"/>
          <w:szCs w:val="32"/>
          <w:highlight w:val="none"/>
        </w:rPr>
        <w:t>1</w:t>
      </w:r>
      <w:r>
        <w:rPr>
          <w:rFonts w:hint="eastAsia" w:cs="Times New Roman"/>
          <w:color w:val="auto"/>
          <w:sz w:val="32"/>
          <w:szCs w:val="32"/>
          <w:highlight w:val="none"/>
          <w:lang w:val="en-US" w:eastAsia="zh-CN"/>
        </w:rPr>
        <w:t>40</w:t>
      </w:r>
      <w:bookmarkEnd w:id="2"/>
      <w:r>
        <w:rPr>
          <w:rFonts w:cs="Times New Roman"/>
          <w:sz w:val="32"/>
          <w:szCs w:val="32"/>
          <w:highlight w:val="none"/>
        </w:rPr>
        <w:t>万元（详见预算表），本项目专门面向中小型企业，最终金额以</w:t>
      </w:r>
      <w:r>
        <w:rPr>
          <w:rFonts w:hint="eastAsia" w:cs="Times New Roman"/>
          <w:sz w:val="32"/>
          <w:szCs w:val="32"/>
          <w:highlight w:val="none"/>
          <w:lang w:val="en-US" w:eastAsia="zh-CN"/>
        </w:rPr>
        <w:t>公开招投标</w:t>
      </w:r>
      <w:r>
        <w:rPr>
          <w:rFonts w:cs="Times New Roman"/>
          <w:sz w:val="32"/>
          <w:szCs w:val="32"/>
          <w:highlight w:val="none"/>
        </w:rPr>
        <w:t>结果为准。</w:t>
      </w:r>
    </w:p>
    <w:p>
      <w:pPr>
        <w:spacing w:line="600" w:lineRule="exact"/>
        <w:ind w:firstLine="640"/>
        <w:rPr>
          <w:rFonts w:eastAsia="黑体" w:cs="Times New Roman"/>
          <w:sz w:val="32"/>
          <w:szCs w:val="32"/>
        </w:rPr>
      </w:pPr>
      <w:r>
        <w:rPr>
          <w:rFonts w:eastAsia="黑体" w:cs="Times New Roman"/>
          <w:sz w:val="32"/>
          <w:szCs w:val="32"/>
        </w:rPr>
        <w:t>九、成果和验收标准</w:t>
      </w:r>
    </w:p>
    <w:p>
      <w:pPr>
        <w:spacing w:after="0" w:line="600" w:lineRule="exact"/>
        <w:ind w:firstLine="640"/>
        <w:rPr>
          <w:rFonts w:cs="Times New Roman"/>
          <w:sz w:val="32"/>
          <w:szCs w:val="32"/>
        </w:rPr>
      </w:pPr>
      <w:r>
        <w:rPr>
          <w:rFonts w:cs="Times New Roman"/>
          <w:sz w:val="32"/>
          <w:szCs w:val="32"/>
        </w:rPr>
        <w:t>1、项目成果通过专家技术评审及管理部门验收，同时符合相关技术规定的要求；</w:t>
      </w:r>
    </w:p>
    <w:p>
      <w:pPr>
        <w:spacing w:line="600" w:lineRule="exact"/>
        <w:ind w:firstLine="640"/>
        <w:rPr>
          <w:rFonts w:cs="Times New Roman"/>
          <w:sz w:val="32"/>
          <w:szCs w:val="32"/>
        </w:rPr>
      </w:pPr>
      <w:r>
        <w:rPr>
          <w:rFonts w:cs="Times New Roman"/>
          <w:sz w:val="32"/>
          <w:szCs w:val="32"/>
        </w:rPr>
        <w:t>2、项目成果需向委托方提供纸质文件4套及电子文件。</w:t>
      </w:r>
    </w:p>
    <w:p>
      <w:pPr>
        <w:pStyle w:val="9"/>
        <w:spacing w:after="160" w:line="600" w:lineRule="exact"/>
        <w:ind w:left="0" w:leftChars="0" w:firstLine="640"/>
        <w:rPr>
          <w:rFonts w:eastAsia="黑体" w:cs="Times New Roman"/>
          <w:sz w:val="32"/>
          <w:szCs w:val="32"/>
        </w:rPr>
      </w:pPr>
      <w:r>
        <w:rPr>
          <w:rFonts w:eastAsia="黑体" w:cs="Times New Roman"/>
          <w:sz w:val="32"/>
          <w:szCs w:val="32"/>
        </w:rPr>
        <w:t>十、付款和结算方式</w:t>
      </w:r>
    </w:p>
    <w:p>
      <w:pPr>
        <w:spacing w:after="0" w:line="600" w:lineRule="exact"/>
        <w:ind w:firstLine="640"/>
        <w:rPr>
          <w:rFonts w:cs="Times New Roman"/>
          <w:sz w:val="32"/>
          <w:szCs w:val="32"/>
        </w:rPr>
      </w:pPr>
      <w:r>
        <w:rPr>
          <w:rFonts w:cs="Times New Roman"/>
          <w:sz w:val="32"/>
          <w:szCs w:val="32"/>
        </w:rPr>
        <w:t>由委托方按下列程序付款：</w:t>
      </w:r>
    </w:p>
    <w:p>
      <w:pPr>
        <w:spacing w:after="0" w:line="600" w:lineRule="exact"/>
        <w:ind w:firstLine="640"/>
        <w:rPr>
          <w:rFonts w:cs="Times New Roman"/>
          <w:sz w:val="32"/>
          <w:szCs w:val="32"/>
        </w:rPr>
      </w:pPr>
      <w:r>
        <w:rPr>
          <w:rFonts w:cs="Times New Roman"/>
          <w:sz w:val="32"/>
          <w:szCs w:val="32"/>
        </w:rPr>
        <w:t>1、项目合同签订后10个工作日内支付总费用的30%；</w:t>
      </w:r>
    </w:p>
    <w:p>
      <w:pPr>
        <w:spacing w:after="0" w:line="600" w:lineRule="exact"/>
        <w:ind w:firstLine="640"/>
        <w:rPr>
          <w:rFonts w:cs="Times New Roman"/>
          <w:sz w:val="32"/>
          <w:szCs w:val="32"/>
        </w:rPr>
      </w:pPr>
      <w:r>
        <w:rPr>
          <w:rFonts w:cs="Times New Roman"/>
          <w:sz w:val="32"/>
          <w:szCs w:val="32"/>
        </w:rPr>
        <w:t>2、完成并提交《农用地土壤重金属污染溯源项目实施方案</w:t>
      </w:r>
      <w:bookmarkStart w:id="1" w:name="OLE_LINK3"/>
      <w:r>
        <w:rPr>
          <w:rFonts w:cs="Times New Roman"/>
          <w:sz w:val="32"/>
          <w:szCs w:val="32"/>
        </w:rPr>
        <w:t>（普宁市）</w:t>
      </w:r>
      <w:bookmarkEnd w:id="1"/>
      <w:r>
        <w:rPr>
          <w:rFonts w:cs="Times New Roman"/>
          <w:sz w:val="32"/>
          <w:szCs w:val="32"/>
        </w:rPr>
        <w:t>》、《农用地土壤重金属污染溯源项目研究报告（普宁市）》（含污染源头管控工作方案）、《农用地土壤重金属污染源清单（普宁市）》、《农用地土壤重金属污染源信息“一张图”（普宁市）》</w:t>
      </w:r>
      <w:r>
        <w:rPr>
          <w:rFonts w:hint="eastAsia" w:cs="Times New Roman"/>
          <w:sz w:val="32"/>
          <w:szCs w:val="32"/>
          <w:lang w:eastAsia="zh-CN"/>
        </w:rPr>
        <w:t>（</w:t>
      </w:r>
      <w:r>
        <w:rPr>
          <w:rFonts w:hint="eastAsia" w:cs="Times New Roman"/>
          <w:sz w:val="32"/>
          <w:szCs w:val="32"/>
          <w:lang w:val="en-US" w:eastAsia="zh-CN"/>
        </w:rPr>
        <w:t>初稿</w:t>
      </w:r>
      <w:r>
        <w:rPr>
          <w:rFonts w:hint="eastAsia" w:cs="Times New Roman"/>
          <w:sz w:val="32"/>
          <w:szCs w:val="32"/>
          <w:lang w:eastAsia="zh-CN"/>
        </w:rPr>
        <w:t>）</w:t>
      </w:r>
      <w:r>
        <w:rPr>
          <w:rFonts w:cs="Times New Roman"/>
          <w:sz w:val="32"/>
          <w:szCs w:val="32"/>
        </w:rPr>
        <w:t>后10个工作日内支付总费用的40%；</w:t>
      </w:r>
    </w:p>
    <w:p>
      <w:pPr>
        <w:spacing w:after="0" w:line="600" w:lineRule="exact"/>
        <w:ind w:firstLine="640"/>
        <w:rPr>
          <w:rFonts w:cs="Times New Roman"/>
          <w:sz w:val="32"/>
          <w:szCs w:val="32"/>
        </w:rPr>
      </w:pPr>
      <w:r>
        <w:rPr>
          <w:rFonts w:cs="Times New Roman"/>
          <w:sz w:val="32"/>
          <w:szCs w:val="32"/>
        </w:rPr>
        <w:t>3、提交所有项目成果报告并通过专家评审及管理部门验收后10个工作日内支付总费用的30%；</w:t>
      </w:r>
    </w:p>
    <w:p>
      <w:pPr>
        <w:spacing w:after="0" w:line="600" w:lineRule="exact"/>
        <w:ind w:firstLine="640"/>
        <w:rPr>
          <w:rFonts w:cs="Times New Roman"/>
          <w:sz w:val="32"/>
          <w:szCs w:val="32"/>
        </w:rPr>
      </w:pPr>
      <w:r>
        <w:rPr>
          <w:rFonts w:cs="Times New Roman"/>
          <w:sz w:val="32"/>
          <w:szCs w:val="32"/>
        </w:rPr>
        <w:t>4、</w:t>
      </w:r>
      <w:r>
        <w:rPr>
          <w:rFonts w:hint="eastAsia" w:cs="Times New Roman"/>
          <w:sz w:val="32"/>
          <w:szCs w:val="32"/>
          <w:highlight w:val="none"/>
          <w:lang w:val="en-US" w:eastAsia="zh-CN"/>
        </w:rPr>
        <w:t>中标人凭合同、中标人开具的正式发票以及中标通知书等有效文件与招标人结算</w:t>
      </w:r>
      <w:r>
        <w:rPr>
          <w:rFonts w:cs="Times New Roman"/>
          <w:sz w:val="32"/>
          <w:szCs w:val="32"/>
          <w:highlight w:val="none"/>
        </w:rPr>
        <w:t>。</w:t>
      </w:r>
    </w:p>
    <w:p>
      <w:pPr>
        <w:spacing w:after="0" w:line="600" w:lineRule="exact"/>
        <w:ind w:firstLine="640"/>
        <w:rPr>
          <w:rFonts w:cs="Times New Roman"/>
          <w:sz w:val="32"/>
          <w:szCs w:val="32"/>
        </w:rPr>
      </w:pPr>
      <w:r>
        <w:rPr>
          <w:rFonts w:cs="Times New Roman"/>
          <w:sz w:val="32"/>
          <w:szCs w:val="32"/>
        </w:rPr>
        <w:t>5、付款时间不包括财政审查时间。</w:t>
      </w:r>
    </w:p>
    <w:sectPr>
      <w:pgSz w:w="11906" w:h="16838"/>
      <w:pgMar w:top="1440" w:right="1531" w:bottom="1440"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ind w:firstLine="0" w:firstLineChars="0"/>
                            <w:rPr>
                              <w:rFonts w:hint="eastAsia" w:ascii="宋体" w:hAnsi="宋体" w:eastAsia="宋体" w:cs="宋体"/>
                              <w:szCs w:val="28"/>
                            </w:rPr>
                          </w:pPr>
                          <w:r>
                            <w:rPr>
                              <w:rFonts w:hint="eastAsia" w:ascii="宋体" w:hAnsi="宋体" w:eastAsia="宋体" w:cs="宋体"/>
                              <w:szCs w:val="28"/>
                            </w:rPr>
                            <w:fldChar w:fldCharType="begin"/>
                          </w:r>
                          <w:r>
                            <w:rPr>
                              <w:rFonts w:hint="eastAsia" w:ascii="宋体" w:hAnsi="宋体" w:eastAsia="宋体" w:cs="宋体"/>
                              <w:szCs w:val="28"/>
                            </w:rPr>
                            <w:instrText xml:space="preserve"> PAGE  \* MERGEFORMAT </w:instrText>
                          </w:r>
                          <w:r>
                            <w:rPr>
                              <w:rFonts w:hint="eastAsia" w:ascii="宋体" w:hAnsi="宋体" w:eastAsia="宋体" w:cs="宋体"/>
                              <w:szCs w:val="28"/>
                            </w:rPr>
                            <w:fldChar w:fldCharType="separate"/>
                          </w:r>
                          <w:r>
                            <w:rPr>
                              <w:rFonts w:hint="eastAsia" w:ascii="宋体" w:hAnsi="宋体" w:eastAsia="宋体" w:cs="宋体"/>
                              <w:szCs w:val="28"/>
                            </w:rPr>
                            <w:t>1</w:t>
                          </w:r>
                          <w:r>
                            <w:rPr>
                              <w:rFonts w:hint="eastAsia" w:ascii="宋体" w:hAnsi="宋体" w:eastAsia="宋体" w:cs="宋体"/>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snapToGrid w:val="0"/>
                      <w:ind w:firstLine="0" w:firstLineChars="0"/>
                      <w:rPr>
                        <w:rFonts w:hint="eastAsia" w:ascii="宋体" w:hAnsi="宋体" w:eastAsia="宋体" w:cs="宋体"/>
                        <w:szCs w:val="28"/>
                      </w:rPr>
                    </w:pPr>
                    <w:r>
                      <w:rPr>
                        <w:rFonts w:hint="eastAsia" w:ascii="宋体" w:hAnsi="宋体" w:eastAsia="宋体" w:cs="宋体"/>
                        <w:szCs w:val="28"/>
                      </w:rPr>
                      <w:fldChar w:fldCharType="begin"/>
                    </w:r>
                    <w:r>
                      <w:rPr>
                        <w:rFonts w:hint="eastAsia" w:ascii="宋体" w:hAnsi="宋体" w:eastAsia="宋体" w:cs="宋体"/>
                        <w:szCs w:val="28"/>
                      </w:rPr>
                      <w:instrText xml:space="preserve"> PAGE  \* MERGEFORMAT </w:instrText>
                    </w:r>
                    <w:r>
                      <w:rPr>
                        <w:rFonts w:hint="eastAsia" w:ascii="宋体" w:hAnsi="宋体" w:eastAsia="宋体" w:cs="宋体"/>
                        <w:szCs w:val="28"/>
                      </w:rPr>
                      <w:fldChar w:fldCharType="separate"/>
                    </w:r>
                    <w:r>
                      <w:rPr>
                        <w:rFonts w:hint="eastAsia" w:ascii="宋体" w:hAnsi="宋体" w:eastAsia="宋体" w:cs="宋体"/>
                        <w:szCs w:val="28"/>
                      </w:rPr>
                      <w:t>1</w:t>
                    </w:r>
                    <w:r>
                      <w:rPr>
                        <w:rFonts w:hint="eastAsia" w:ascii="宋体" w:hAnsi="宋体" w:eastAsia="宋体" w:cs="宋体"/>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B679A"/>
    <w:multiLevelType w:val="singleLevel"/>
    <w:tmpl w:val="C51B679A"/>
    <w:lvl w:ilvl="0" w:tentative="0">
      <w:start w:val="1"/>
      <w:numFmt w:val="chineseCounting"/>
      <w:suff w:val="nothing"/>
      <w:lvlText w:val="%1、"/>
      <w:lvlJc w:val="left"/>
      <w:rPr>
        <w:rFonts w:hint="eastAsia"/>
      </w:rPr>
    </w:lvl>
  </w:abstractNum>
  <w:abstractNum w:abstractNumId="1">
    <w:nsid w:val="6D855C08"/>
    <w:multiLevelType w:val="multilevel"/>
    <w:tmpl w:val="6D855C08"/>
    <w:lvl w:ilvl="0" w:tentative="0">
      <w:start w:val="1"/>
      <w:numFmt w:val="decimal"/>
      <w:suff w:val="space"/>
      <w:lvlText w:val="%1"/>
      <w:lvlJc w:val="left"/>
      <w:pPr>
        <w:ind w:left="0" w:firstLine="0"/>
      </w:pPr>
      <w:rPr>
        <w:rFonts w:hint="default" w:ascii="Arial" w:hAnsi="Arial" w:cs="Arial"/>
      </w:rPr>
    </w:lvl>
    <w:lvl w:ilvl="1" w:tentative="0">
      <w:start w:val="1"/>
      <w:numFmt w:val="decimal"/>
      <w:suff w:val="space"/>
      <w:lvlText w:val="%1.%2"/>
      <w:lvlJc w:val="left"/>
      <w:pPr>
        <w:ind w:left="0" w:firstLine="0"/>
      </w:pPr>
      <w:rPr>
        <w:rFonts w:hint="default" w:ascii="Arial" w:hAnsi="Arial" w:cs="Arial"/>
      </w:rPr>
    </w:lvl>
    <w:lvl w:ilvl="2" w:tentative="0">
      <w:start w:val="1"/>
      <w:numFmt w:val="decimal"/>
      <w:pStyle w:val="4"/>
      <w:suff w:val="space"/>
      <w:lvlText w:val="%1.%2.%3"/>
      <w:lvlJc w:val="left"/>
      <w:pPr>
        <w:ind w:left="0" w:firstLine="0"/>
      </w:pPr>
      <w:rPr>
        <w:rFonts w:hint="default" w:ascii="Arial" w:hAnsi="Arial" w:cs="Arial"/>
      </w:rPr>
    </w:lvl>
    <w:lvl w:ilvl="3" w:tentative="0">
      <w:start w:val="1"/>
      <w:numFmt w:val="decimal"/>
      <w:suff w:val="space"/>
      <w:lvlText w:val="%1.%2.%3.%4"/>
      <w:lvlJc w:val="left"/>
      <w:pPr>
        <w:ind w:left="630" w:firstLine="0"/>
      </w:pPr>
      <w:rPr>
        <w:rFonts w:hint="default" w:ascii="Arial" w:hAnsi="Arial" w:cs="Arial"/>
      </w:rPr>
    </w:lvl>
    <w:lvl w:ilvl="4" w:tentative="0">
      <w:start w:val="1"/>
      <w:numFmt w:val="decimal"/>
      <w:suff w:val="space"/>
      <w:lvlText w:val="%1.%2.%3.%4.%5"/>
      <w:lvlJc w:val="left"/>
      <w:pPr>
        <w:ind w:left="0" w:firstLine="0"/>
      </w:pPr>
      <w:rPr>
        <w:rFonts w:hint="default" w:ascii="Arial" w:hAnsi="Arial" w:cs="Arial"/>
        <w:b w:val="0"/>
        <w:bCs w:val="0"/>
      </w:rPr>
    </w:lvl>
    <w:lvl w:ilvl="5" w:tentative="0">
      <w:start w:val="1"/>
      <w:numFmt w:val="decimal"/>
      <w:suff w:val="space"/>
      <w:lvlText w:val="%1.%2.%3.%4.%5.%6"/>
      <w:lvlJc w:val="left"/>
      <w:pPr>
        <w:ind w:left="0"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mODVjZTkwNDJlOGRlNDQ5MWNmZTIwNTVjNDRlZjAifQ=="/>
    <w:docVar w:name="KSO_WPS_MARK_KEY" w:val="a6c3da15-56ce-4443-afe1-0468f7454771"/>
  </w:docVars>
  <w:rsids>
    <w:rsidRoot w:val="008F3EC1"/>
    <w:rsid w:val="00017535"/>
    <w:rsid w:val="000232EF"/>
    <w:rsid w:val="000346BA"/>
    <w:rsid w:val="000375E4"/>
    <w:rsid w:val="00041258"/>
    <w:rsid w:val="00043283"/>
    <w:rsid w:val="000453C0"/>
    <w:rsid w:val="00051BCE"/>
    <w:rsid w:val="00061446"/>
    <w:rsid w:val="000712F2"/>
    <w:rsid w:val="000754F1"/>
    <w:rsid w:val="00085C77"/>
    <w:rsid w:val="0008750C"/>
    <w:rsid w:val="0009057B"/>
    <w:rsid w:val="00095F2B"/>
    <w:rsid w:val="000C684D"/>
    <w:rsid w:val="000D1332"/>
    <w:rsid w:val="000D3D59"/>
    <w:rsid w:val="000E088F"/>
    <w:rsid w:val="001005CF"/>
    <w:rsid w:val="001132BE"/>
    <w:rsid w:val="00122EE4"/>
    <w:rsid w:val="00153C79"/>
    <w:rsid w:val="00156CE6"/>
    <w:rsid w:val="001D4403"/>
    <w:rsid w:val="001D57A8"/>
    <w:rsid w:val="001F76B7"/>
    <w:rsid w:val="00201A95"/>
    <w:rsid w:val="00217CF7"/>
    <w:rsid w:val="00227D75"/>
    <w:rsid w:val="00232DC7"/>
    <w:rsid w:val="00243140"/>
    <w:rsid w:val="00257CDB"/>
    <w:rsid w:val="0027314C"/>
    <w:rsid w:val="00275945"/>
    <w:rsid w:val="002B5352"/>
    <w:rsid w:val="002C2312"/>
    <w:rsid w:val="002C73C7"/>
    <w:rsid w:val="002E4E66"/>
    <w:rsid w:val="002E5E39"/>
    <w:rsid w:val="002E6A5E"/>
    <w:rsid w:val="002F6BDA"/>
    <w:rsid w:val="003001C1"/>
    <w:rsid w:val="0036489F"/>
    <w:rsid w:val="003C7E0F"/>
    <w:rsid w:val="003E0794"/>
    <w:rsid w:val="003E1ED1"/>
    <w:rsid w:val="003E471E"/>
    <w:rsid w:val="003E525A"/>
    <w:rsid w:val="00407BC7"/>
    <w:rsid w:val="00417CD0"/>
    <w:rsid w:val="00436282"/>
    <w:rsid w:val="0043681E"/>
    <w:rsid w:val="004656F6"/>
    <w:rsid w:val="004741B5"/>
    <w:rsid w:val="00487A30"/>
    <w:rsid w:val="0049283C"/>
    <w:rsid w:val="004C5DCB"/>
    <w:rsid w:val="004E4A04"/>
    <w:rsid w:val="0054306D"/>
    <w:rsid w:val="00556579"/>
    <w:rsid w:val="00566D02"/>
    <w:rsid w:val="00575866"/>
    <w:rsid w:val="00596972"/>
    <w:rsid w:val="005B4663"/>
    <w:rsid w:val="005E2A86"/>
    <w:rsid w:val="005F529E"/>
    <w:rsid w:val="0061013C"/>
    <w:rsid w:val="00633533"/>
    <w:rsid w:val="006647DE"/>
    <w:rsid w:val="00677993"/>
    <w:rsid w:val="0068545C"/>
    <w:rsid w:val="00692A8D"/>
    <w:rsid w:val="00695015"/>
    <w:rsid w:val="006A1484"/>
    <w:rsid w:val="006B6F6F"/>
    <w:rsid w:val="006D74CC"/>
    <w:rsid w:val="006E178E"/>
    <w:rsid w:val="006F38D4"/>
    <w:rsid w:val="007209BE"/>
    <w:rsid w:val="00735F06"/>
    <w:rsid w:val="00737826"/>
    <w:rsid w:val="007577BF"/>
    <w:rsid w:val="00776301"/>
    <w:rsid w:val="007A5655"/>
    <w:rsid w:val="007F28DA"/>
    <w:rsid w:val="007F33B2"/>
    <w:rsid w:val="00801E41"/>
    <w:rsid w:val="008268A0"/>
    <w:rsid w:val="0084318D"/>
    <w:rsid w:val="00844E2C"/>
    <w:rsid w:val="008501C8"/>
    <w:rsid w:val="00890B17"/>
    <w:rsid w:val="008A6DB9"/>
    <w:rsid w:val="008B72F5"/>
    <w:rsid w:val="008B7447"/>
    <w:rsid w:val="008E524C"/>
    <w:rsid w:val="008F3EC1"/>
    <w:rsid w:val="008F5442"/>
    <w:rsid w:val="00937AEE"/>
    <w:rsid w:val="00962BED"/>
    <w:rsid w:val="00970085"/>
    <w:rsid w:val="009735A0"/>
    <w:rsid w:val="00982924"/>
    <w:rsid w:val="00985291"/>
    <w:rsid w:val="009B7B84"/>
    <w:rsid w:val="009C74FB"/>
    <w:rsid w:val="00A06C19"/>
    <w:rsid w:val="00A11ED5"/>
    <w:rsid w:val="00A20097"/>
    <w:rsid w:val="00A40281"/>
    <w:rsid w:val="00A456C7"/>
    <w:rsid w:val="00A64D2B"/>
    <w:rsid w:val="00A66D1C"/>
    <w:rsid w:val="00A700F6"/>
    <w:rsid w:val="00A858C0"/>
    <w:rsid w:val="00A97E57"/>
    <w:rsid w:val="00AD5C31"/>
    <w:rsid w:val="00AE1CCB"/>
    <w:rsid w:val="00AF61A0"/>
    <w:rsid w:val="00B0041C"/>
    <w:rsid w:val="00B03790"/>
    <w:rsid w:val="00B1090E"/>
    <w:rsid w:val="00B1273A"/>
    <w:rsid w:val="00B14C1D"/>
    <w:rsid w:val="00B308B9"/>
    <w:rsid w:val="00B350D2"/>
    <w:rsid w:val="00B47D8D"/>
    <w:rsid w:val="00B5276F"/>
    <w:rsid w:val="00B52A02"/>
    <w:rsid w:val="00B76D3F"/>
    <w:rsid w:val="00B8210F"/>
    <w:rsid w:val="00B948E3"/>
    <w:rsid w:val="00B969F6"/>
    <w:rsid w:val="00BC35DF"/>
    <w:rsid w:val="00BC457E"/>
    <w:rsid w:val="00BC7B86"/>
    <w:rsid w:val="00BF2DED"/>
    <w:rsid w:val="00BF7B50"/>
    <w:rsid w:val="00C007CE"/>
    <w:rsid w:val="00C16FEC"/>
    <w:rsid w:val="00C577CC"/>
    <w:rsid w:val="00C807E1"/>
    <w:rsid w:val="00C92A69"/>
    <w:rsid w:val="00CA6335"/>
    <w:rsid w:val="00CD2E79"/>
    <w:rsid w:val="00D06233"/>
    <w:rsid w:val="00D11002"/>
    <w:rsid w:val="00D23E47"/>
    <w:rsid w:val="00D26118"/>
    <w:rsid w:val="00D266B1"/>
    <w:rsid w:val="00D31880"/>
    <w:rsid w:val="00D40452"/>
    <w:rsid w:val="00D4291D"/>
    <w:rsid w:val="00D9173B"/>
    <w:rsid w:val="00DA0CCD"/>
    <w:rsid w:val="00DB15E3"/>
    <w:rsid w:val="00DB2DB2"/>
    <w:rsid w:val="00E13B42"/>
    <w:rsid w:val="00E363EF"/>
    <w:rsid w:val="00E3776A"/>
    <w:rsid w:val="00E44AA1"/>
    <w:rsid w:val="00E725E3"/>
    <w:rsid w:val="00EA0A42"/>
    <w:rsid w:val="00EF6B6D"/>
    <w:rsid w:val="00F53F22"/>
    <w:rsid w:val="00F60C0C"/>
    <w:rsid w:val="00F74007"/>
    <w:rsid w:val="00F9506E"/>
    <w:rsid w:val="00FC461F"/>
    <w:rsid w:val="00FF3498"/>
    <w:rsid w:val="010209F1"/>
    <w:rsid w:val="02960B8C"/>
    <w:rsid w:val="06A13572"/>
    <w:rsid w:val="080A5070"/>
    <w:rsid w:val="09765E93"/>
    <w:rsid w:val="099411C3"/>
    <w:rsid w:val="0A9A6B7F"/>
    <w:rsid w:val="0B7B7DE0"/>
    <w:rsid w:val="0D565898"/>
    <w:rsid w:val="0DA17C6F"/>
    <w:rsid w:val="11AA00AA"/>
    <w:rsid w:val="14E36559"/>
    <w:rsid w:val="17CC74AB"/>
    <w:rsid w:val="17EB6A58"/>
    <w:rsid w:val="1B1618EC"/>
    <w:rsid w:val="1E2A17B5"/>
    <w:rsid w:val="22257D53"/>
    <w:rsid w:val="242754A6"/>
    <w:rsid w:val="24D10AF0"/>
    <w:rsid w:val="24DC4CB9"/>
    <w:rsid w:val="28821B85"/>
    <w:rsid w:val="289C7B0E"/>
    <w:rsid w:val="289E07EE"/>
    <w:rsid w:val="2AD43515"/>
    <w:rsid w:val="2AD601D4"/>
    <w:rsid w:val="2CDE6947"/>
    <w:rsid w:val="2F321280"/>
    <w:rsid w:val="30796D99"/>
    <w:rsid w:val="30F969CE"/>
    <w:rsid w:val="334C5C2C"/>
    <w:rsid w:val="371371EE"/>
    <w:rsid w:val="39167469"/>
    <w:rsid w:val="3A1E65D5"/>
    <w:rsid w:val="3A9700CD"/>
    <w:rsid w:val="3C187054"/>
    <w:rsid w:val="3C65673D"/>
    <w:rsid w:val="3E2F4D6D"/>
    <w:rsid w:val="3EE31B9B"/>
    <w:rsid w:val="3F584CF9"/>
    <w:rsid w:val="3F5E0E02"/>
    <w:rsid w:val="3FC1012F"/>
    <w:rsid w:val="421A58D4"/>
    <w:rsid w:val="43651801"/>
    <w:rsid w:val="47A81BD4"/>
    <w:rsid w:val="487B7241"/>
    <w:rsid w:val="48D17EA0"/>
    <w:rsid w:val="4A300386"/>
    <w:rsid w:val="4A3414FD"/>
    <w:rsid w:val="4B1B0CA9"/>
    <w:rsid w:val="4BD7138F"/>
    <w:rsid w:val="4C9D5D7B"/>
    <w:rsid w:val="4CE51673"/>
    <w:rsid w:val="4ECC584F"/>
    <w:rsid w:val="4F1F3CFB"/>
    <w:rsid w:val="50DF4414"/>
    <w:rsid w:val="51234079"/>
    <w:rsid w:val="53EA2D03"/>
    <w:rsid w:val="54C62388"/>
    <w:rsid w:val="552111BC"/>
    <w:rsid w:val="556166E0"/>
    <w:rsid w:val="55B80731"/>
    <w:rsid w:val="570010E5"/>
    <w:rsid w:val="5700645A"/>
    <w:rsid w:val="577D0B19"/>
    <w:rsid w:val="5966544B"/>
    <w:rsid w:val="5A8913B0"/>
    <w:rsid w:val="5B4D4167"/>
    <w:rsid w:val="5C853E3A"/>
    <w:rsid w:val="5DC905E2"/>
    <w:rsid w:val="5F4E1BCA"/>
    <w:rsid w:val="60452DD7"/>
    <w:rsid w:val="609E371C"/>
    <w:rsid w:val="61F47E02"/>
    <w:rsid w:val="62C92CD3"/>
    <w:rsid w:val="6373609E"/>
    <w:rsid w:val="639C1EBC"/>
    <w:rsid w:val="64FB35E1"/>
    <w:rsid w:val="68B91FF7"/>
    <w:rsid w:val="6DD37F07"/>
    <w:rsid w:val="6E4C5C05"/>
    <w:rsid w:val="6F3F60CB"/>
    <w:rsid w:val="70D0443C"/>
    <w:rsid w:val="70E76EB2"/>
    <w:rsid w:val="73AC3271"/>
    <w:rsid w:val="741859E8"/>
    <w:rsid w:val="759E3B4B"/>
    <w:rsid w:val="76E539FB"/>
    <w:rsid w:val="77865CA7"/>
    <w:rsid w:val="7A903C7E"/>
    <w:rsid w:val="7AA339B1"/>
    <w:rsid w:val="7BA70391"/>
    <w:rsid w:val="7BB95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ind w:firstLine="200" w:firstLineChars="200"/>
      <w:jc w:val="both"/>
    </w:pPr>
    <w:rPr>
      <w:rFonts w:ascii="Times New Roman" w:hAnsi="Times New Roman" w:eastAsia="仿宋_GB2312" w:cstheme="minorBidi"/>
      <w:kern w:val="2"/>
      <w:sz w:val="28"/>
      <w:szCs w:val="22"/>
      <w:lang w:val="en-US" w:eastAsia="zh-CN" w:bidi="ar-SA"/>
    </w:rPr>
  </w:style>
  <w:style w:type="paragraph" w:styleId="4">
    <w:name w:val="heading 3"/>
    <w:basedOn w:val="1"/>
    <w:next w:val="1"/>
    <w:unhideWhenUsed/>
    <w:qFormat/>
    <w:uiPriority w:val="9"/>
    <w:pPr>
      <w:keepNext/>
      <w:keepLines/>
      <w:numPr>
        <w:ilvl w:val="2"/>
        <w:numId w:val="1"/>
      </w:numPr>
      <w:spacing w:line="480" w:lineRule="auto"/>
      <w:outlineLvl w:val="2"/>
    </w:pPr>
    <w:rPr>
      <w:rFonts w:eastAsia="黑体"/>
      <w:bCs/>
      <w:szCs w:val="32"/>
    </w:rPr>
  </w:style>
  <w:style w:type="character" w:default="1" w:styleId="11">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header"/>
    <w:basedOn w:val="1"/>
    <w:next w:val="3"/>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3">
    <w:name w:val="caption"/>
    <w:basedOn w:val="1"/>
    <w:next w:val="1"/>
    <w:qFormat/>
    <w:uiPriority w:val="0"/>
    <w:rPr>
      <w:rFonts w:ascii="Arial" w:hAnsi="Arial" w:eastAsia="黑体"/>
      <w:sz w:val="20"/>
      <w:szCs w:val="20"/>
    </w:rPr>
  </w:style>
  <w:style w:type="paragraph" w:styleId="5">
    <w:name w:val="Normal Indent"/>
    <w:basedOn w:val="1"/>
    <w:qFormat/>
    <w:uiPriority w:val="0"/>
    <w:pPr>
      <w:ind w:firstLine="420"/>
    </w:pPr>
  </w:style>
  <w:style w:type="paragraph" w:styleId="6">
    <w:name w:val="index 5"/>
    <w:basedOn w:val="1"/>
    <w:next w:val="1"/>
    <w:unhideWhenUsed/>
    <w:qFormat/>
    <w:uiPriority w:val="99"/>
    <w:pPr>
      <w:ind w:left="1680"/>
    </w:pPr>
  </w:style>
  <w:style w:type="paragraph" w:styleId="7">
    <w:name w:val="Body Text Indent"/>
    <w:basedOn w:val="1"/>
    <w:qFormat/>
    <w:uiPriority w:val="0"/>
    <w:pPr>
      <w:spacing w:after="120" w:line="240" w:lineRule="auto"/>
      <w:ind w:left="420" w:leftChars="200"/>
    </w:pPr>
    <w:rPr>
      <w:rFonts w:ascii="Calibri" w:hAnsi="Calibri" w:eastAsia="宋体"/>
    </w:rPr>
  </w:style>
  <w:style w:type="paragraph" w:styleId="8">
    <w:name w:val="footer"/>
    <w:basedOn w:val="1"/>
    <w:unhideWhenUsed/>
    <w:qFormat/>
    <w:uiPriority w:val="99"/>
    <w:pPr>
      <w:tabs>
        <w:tab w:val="center" w:pos="4153"/>
        <w:tab w:val="right" w:pos="8306"/>
      </w:tabs>
      <w:snapToGrid w:val="0"/>
      <w:jc w:val="left"/>
    </w:pPr>
    <w:rPr>
      <w:sz w:val="18"/>
    </w:rPr>
  </w:style>
  <w:style w:type="paragraph" w:styleId="9">
    <w:name w:val="Body Text First Indent 2"/>
    <w:basedOn w:val="7"/>
    <w:unhideWhenUsed/>
    <w:qFormat/>
    <w:uiPriority w:val="99"/>
    <w:pPr>
      <w:spacing w:line="360" w:lineRule="auto"/>
      <w:ind w:firstLine="420"/>
    </w:pPr>
    <w:rPr>
      <w:rFonts w:ascii="Times New Roman" w:hAnsi="Times New Roman"/>
    </w:rPr>
  </w:style>
  <w:style w:type="paragraph" w:styleId="10">
    <w:name w:val="footnote text"/>
    <w:basedOn w:val="1"/>
    <w:next w:val="6"/>
    <w:unhideWhenUsed/>
    <w:qFormat/>
    <w:uiPriority w:val="99"/>
    <w:pPr>
      <w:snapToGrid w:val="0"/>
      <w:jc w:val="left"/>
    </w:pPr>
    <w:rPr>
      <w:sz w:val="18"/>
    </w:rPr>
  </w:style>
  <w:style w:type="character" w:styleId="12">
    <w:name w:val="Strong"/>
    <w:basedOn w:val="11"/>
    <w:qFormat/>
    <w:uiPriority w:val="22"/>
    <w:rPr>
      <w:b/>
    </w:rPr>
  </w:style>
  <w:style w:type="paragraph" w:customStyle="1" w:styleId="14">
    <w:name w:val="正文样式"/>
    <w:basedOn w:val="1"/>
    <w:qFormat/>
    <w:uiPriority w:val="0"/>
    <w:pPr>
      <w:adjustRightInd w:val="0"/>
      <w:snapToGrid w:val="0"/>
    </w:pPr>
    <w:rPr>
      <w:rFonts w:cs="Times New Roman"/>
    </w:rPr>
  </w:style>
  <w:style w:type="paragraph" w:customStyle="1" w:styleId="15">
    <w:name w:val="修订1"/>
    <w:hidden/>
    <w:unhideWhenUsed/>
    <w:qFormat/>
    <w:uiPriority w:val="99"/>
    <w:pPr>
      <w:spacing w:after="0" w:line="240" w:lineRule="auto"/>
    </w:pPr>
    <w:rPr>
      <w:rFonts w:ascii="Times New Roman" w:hAnsi="Times New Roman" w:eastAsia="仿宋_GB2312"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3139</Words>
  <Characters>3494</Characters>
  <Lines>95</Lines>
  <Paragraphs>73</Paragraphs>
  <TotalTime>17</TotalTime>
  <ScaleCrop>false</ScaleCrop>
  <LinksUpToDate>false</LinksUpToDate>
  <CharactersWithSpaces>3518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2024-01-16T01:25:00Z</dcterms:created>
  <dc:creator>Hp</dc:creator>
  <cp:lastModifiedBy>黄畅榕</cp:lastModifiedBy>
  <cp:lastPrinted>2024-01-23T09:14:00Z</cp:lastPrinted>
  <dcterms:modified xsi:type="dcterms:W3CDTF">2026-05-11T05:06:12Z</dcterms:modified>
  <dc:title>地下水环境状况调查评估及污染防治分区划分项目需求书</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620D9C82C2B844A1A5997A0702E81AB9_13</vt:lpwstr>
  </property>
  <property fmtid="{D5CDD505-2E9C-101B-9397-08002B2CF9AE}" pid="4" name="KSOTemplateDocerSaveRecord">
    <vt:lpwstr>eyJoZGlkIjoiODdjM2Q0MGY0YzQyM2I1NTliOTE4NWE4ZTk3ODdhY2UiLCJ1c2VySWQiOiI0MDQ4MDgyMjQifQ==</vt:lpwstr>
  </property>
</Properties>
</file>